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spacing w:after="200" w:line="288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</w:p>
    <w:p>
      <w:pPr>
        <w:pStyle w:val="heading 3"/>
        <w:suppressAutoHyphens w:val="1"/>
        <w:spacing w:before="0"/>
        <w:jc w:val="center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21 marzo</w:t>
      </w:r>
      <w:r>
        <w:rPr>
          <w:rFonts w:ascii="Arial" w:hAnsi="Arial"/>
          <w:cap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Giornata Internazionale delle Foreste, </w:t>
      </w:r>
    </w:p>
    <w:p>
      <w:pPr>
        <w:pStyle w:val="heading 3"/>
        <w:suppressAutoHyphens w:val="1"/>
        <w:spacing w:before="0"/>
        <w:jc w:val="center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Florian (FSC</w:t>
      </w:r>
      <w:r>
        <w:rPr>
          <w:rFonts w:ascii="Arial" w:hAnsi="Arial" w:hint="default"/>
          <w:outline w:val="0"/>
          <w:color w:val="000000"/>
          <w:sz w:val="28"/>
          <w:szCs w:val="28"/>
          <w:u w:color="000000"/>
          <w:vertAlign w:val="superscript"/>
          <w:rtl w:val="0"/>
          <w:lang w:val="it-IT"/>
          <w14:textFill>
            <w14:solidFill>
              <w14:srgbClr w14:val="000000"/>
            </w14:solidFill>
          </w14:textFill>
        </w:rPr>
        <w:t>®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Italia): </w:t>
      </w:r>
      <w:r>
        <w:rPr>
          <w:rFonts w:ascii="Arial" w:hAnsi="Arial" w:hint="defaul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Filiere sostenibili contro la deforestazione</w:t>
      </w:r>
      <w:r>
        <w:rPr>
          <w:rFonts w:ascii="Arial" w:hAnsi="Arial" w:hint="defaul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suppressAutoHyphens w:val="1"/>
        <w:spacing w:line="276" w:lineRule="auto"/>
        <w:jc w:val="center"/>
        <w:rPr>
          <w:rFonts w:ascii="Arial" w:cs="Arial" w:hAnsi="Arial" w:eastAsia="Arial"/>
          <w:b w:val="1"/>
          <w:bCs w:val="1"/>
          <w:sz w:val="22"/>
          <w:szCs w:val="22"/>
          <w:shd w:val="clear" w:color="auto" w:fill="ffffff"/>
        </w:rPr>
      </w:pPr>
    </w:p>
    <w:p>
      <w:pPr>
        <w:pStyle w:val="Normal.0"/>
        <w:suppressAutoHyphens w:val="1"/>
        <w:spacing w:line="276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  <w:shd w:val="clear" w:color="auto" w:fill="ffffff"/>
        </w:rPr>
      </w:pP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Il tema di quest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it-IT"/>
        </w:rPr>
        <w:t>’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 xml:space="preserve">anno 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la relazione fra boschi e biodiversit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it-IT"/>
        </w:rPr>
        <w:t>à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: enormi aree di foresta tropicale vengono ogni anno distrutte o degradate per rispondere alla domanda di materie prime, anche dall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it-IT"/>
        </w:rPr>
        <w:t>’</w:t>
      </w:r>
      <w:r>
        <w:rPr>
          <w:rFonts w:ascii="Arial" w:hAnsi="Arial"/>
          <w:i w:val="1"/>
          <w:iCs w:val="1"/>
          <w:shd w:val="clear" w:color="auto" w:fill="ffffff"/>
          <w:rtl w:val="0"/>
          <w:lang w:val="it-IT"/>
        </w:rPr>
        <w:t>Europa. I dati in un report della coalizione internazionale IDH.</w:t>
      </w:r>
    </w:p>
    <w:p>
      <w:pPr>
        <w:pStyle w:val="heading 1"/>
        <w:shd w:val="clear" w:color="auto" w:fill="ffffff"/>
        <w:suppressAutoHyphens w:val="1"/>
        <w:spacing w:before="0" w:line="300" w:lineRule="atLeast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1"/>
        <w:shd w:val="clear" w:color="auto" w:fill="ffffff"/>
        <w:suppressAutoHyphens w:val="1"/>
        <w:spacing w:before="0" w:line="288" w:lineRule="auto"/>
        <w:rPr>
          <w:rFonts w:ascii="Arial" w:cs="Arial" w:hAnsi="Arial" w:eastAsia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dedicata alla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relazione fra boschi e biodiversit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la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Giornata Internazionale delle Foreste 2020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, che si tiene in tutto il mondo sabato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21 marzo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Troppo preziose per perderle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, recita lo slogan scelto per questa edizione dalle Nazioni Unite, che hanno istituito questa Giornata Mondiale nel 2012.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Ed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la stessa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Fao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, l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organizzazione dell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Onu per il cibo e l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agricoltura, a ricordarci che le foreste sono l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habitat dell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80%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della biodiversit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terrestre e ospitano pi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60 mila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specie di piante. Pi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di un miliardo e mezzo di persone dipendono poi direttamente dalle foreste per cibo, riparo, produzione di energia da biomasse e reddito.</w:t>
      </w:r>
    </w:p>
    <w:p>
      <w:pPr>
        <w:pStyle w:val="Normal.0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heading 1"/>
        <w:shd w:val="clear" w:color="auto" w:fill="ffffff"/>
        <w:suppressAutoHyphens w:val="1"/>
        <w:spacing w:before="0" w:line="288" w:lineRule="auto"/>
        <w:rPr>
          <w:rFonts w:ascii="Arial" w:cs="Arial" w:hAnsi="Arial" w:eastAsia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Gestire le foreste in modo sostenibile, e ripristinarle quando necessario,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quindi fondamentale per le persone, la biodiversit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e il clima e una delle sfide globali pi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grandi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ridurre 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impronta ambientale di una serie di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commodities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. La grande produzione agricola monoculturale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, infatti, la principale causa diretta di deforestazione e degrado delle foreste nei Paesi tropicali: la promozione di filiere sostenibili e trasparenti - </w:t>
      </w: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mission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da sempre di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FSC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vertAlign w:val="superscript"/>
          <w:rtl w:val="0"/>
          <w:lang w:val="it-IT"/>
          <w14:textFill>
            <w14:solidFill>
              <w14:srgbClr w14:val="000000"/>
            </w14:solidFill>
          </w14:textFill>
        </w:rPr>
        <w:t xml:space="preserve">®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e il coinvolgimento di istituzioni, produttori, intermediari e cittadini, consente di contrastare la deforestazione e la conseguente perdita di biodiversit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.0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Il peso delle commodities  </w:t>
      </w:r>
    </w:p>
    <w:p>
      <w:pPr>
        <w:pStyle w:val="Normal.0"/>
        <w:suppressAutoHyphens w:val="1"/>
        <w:spacing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ultimo rapporto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IPCC, il comitato scientifico sui cambiamenti climatici istituito dalle Nazioni Unite, spiega che la fornitura pro capite globale di oli e carne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che raddoppiata dal 1961 ad oggi, con importanti impatti su foreste, emissioni e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climate change</w:t>
      </w:r>
      <w:r>
        <w:rPr>
          <w:rFonts w:ascii="Arial" w:hAnsi="Arial"/>
          <w:sz w:val="22"/>
          <w:szCs w:val="22"/>
          <w:rtl w:val="0"/>
          <w:lang w:val="it-IT"/>
        </w:rPr>
        <w:t xml:space="preserve">. Un recente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"https://www.idhsustainabletrade.com/uploaded/2020/02/IDH_The-UoA-to-Tackle-Tropical-Deforestation_2020-web.pdf"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report 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"https://www.idhsustainabletrade.com/"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IDH - The Sustainable Trade Initiative</w:t>
      </w:r>
      <w:r>
        <w:rPr/>
        <w:fldChar w:fldCharType="end" w:fldLock="0"/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(coalizione olandese che mette insieme governi, societ</w:t>
      </w:r>
      <w:r>
        <w:rPr>
          <w:rStyle w:val="Nessuno"/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civile e Ong per promuovere pratiche sostenibili) sottolinea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l'urgenza di agire per ridurre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impronta ambientale di 8 principali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commodities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(olio di palma, soia, manzo, cacao, caff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è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gomma, polpa di legno e carta, legname tropicale) in 12 mercati europei e in 7 Paesi produttori.</w:t>
      </w:r>
    </w:p>
    <w:p>
      <w:pPr>
        <w:pStyle w:val="Normal.0"/>
        <w:suppressAutoHyphens w:val="1"/>
        <w:spacing w:line="288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clearfix"/>
        <w:suppressAutoHyphens w:val="1"/>
        <w:spacing w:before="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Il rapporto di IDH evidenzia infatti come gli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hotspot della deforestazione si stiano spostando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se nel 2002 il Brasile e l'Indonesia rappresentavano il 71% della perdita di foresta tropicale primaria, nel 2018 questo dato si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ridotto a meno della met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del totale, mentre Colombia, Costa d'Avorio, Ghana e Repubblica Democratica del Congo sono diventate ora i Paesi dove si registrano i maggiori record negativi; sei dei primi dieci Paesi tropicali che hanno registrato il maggiore tasso di perdita di foreste tra il 2017 e il 2018 sono africani. </w:t>
      </w:r>
    </w:p>
    <w:p>
      <w:pPr>
        <w:pStyle w:val="clearfix"/>
        <w:suppressAutoHyphens w:val="1"/>
        <w:spacing w:before="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Sempre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questa situazione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direttamente collegata alla produzione di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materie prime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: a tagli illegali, piantagioni create a scapito di foreste naturali e pratiche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slash and burn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(una tipologia di attivit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agricola che prevede il taglio e la combustione di piante in una foresta o bosco per creare terreni coltivabili), si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sommato negli ultimi anni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aumento di richiesta di prodotti come cacao e palma da olio, facendo crescere la pressione esercitata sulle foreste.</w:t>
      </w:r>
    </w:p>
    <w:p>
      <w:pPr>
        <w:pStyle w:val="heading 3"/>
        <w:suppressAutoHyphens w:val="1"/>
        <w:spacing w:line="288" w:lineRule="auto"/>
        <w:rPr>
          <w:rStyle w:val="Nessuno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ruolo dell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Europa e dell</w:t>
      </w:r>
      <w:r>
        <w:rPr>
          <w:rStyle w:val="Nessuno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Italia</w:t>
      </w:r>
    </w:p>
    <w:p>
      <w:pPr>
        <w:pStyle w:val="clearfix"/>
        <w:suppressAutoHyphens w:val="1"/>
        <w:spacing w:before="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Una quota significativa della domanda globale di materie prime agroforestali viene dai Paesi europei, particolarmente attraverso le grandi industrie di trasformazione. I dati dimostrano che, in media, le emissioni da deforestazione prodotte da queste importazioni rappresentano il 50% delle emissioni agricole nazionali nei 12 Paesi europei presi in esame (Belgio, Danimarca, Francia, Germania, Italia, Paesi Bassi, Norvegia, Polonia, Portogallo, Spagna, Svizzera e UK).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approvvigionamento di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commodities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da filiere sostenibili potrebbe per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far risparmiare quasi mezzo miliardo di tonnellate di anidride carbonica nel prossimo decennio. In questo senso, un segnale positivo arriva dal settore forestale e dalla produzione di legname tropicale sostenibile, che interessa oggi 30 milioni di ettari: attualmente il 25-32% dei principali prodotti legnosi tropicali importati nell'UE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ora accompagnato da certificazione di filiera sostenibile.</w:t>
      </w:r>
    </w:p>
    <w:p>
      <w:pPr>
        <w:pStyle w:val="clearfix"/>
        <w:suppressAutoHyphens w:val="1"/>
        <w:spacing w:before="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clearfix"/>
        <w:suppressAutoHyphens w:val="1"/>
        <w:spacing w:before="0" w:after="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"Foreste e biodiversit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à –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spiega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Diego Florian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direttore di FSC Italia - sono davvero preziosi per il nostro futuro: ecco perch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dobbiamo impegnarci a livello locale, nazionale e internazionale per proteggere e valorizzare questo immenso patrimonio. Come? Gestendo le foreste in modo sostenibile; ripristinando aree degradate o soggette a deforestazione, salvaguardando i servizi essenziali che riceviamo da alberi e boschi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</w:t>
      </w:r>
      <w:r>
        <w:rPr>
          <w:rStyle w:val="Nessuno"/>
          <w:rFonts w:ascii="Arial Unicode MS" w:cs="Arial Unicode MS" w:hAnsi="Arial Unicode MS" w:eastAsia="Arial Unicode MS"/>
          <w:sz w:val="22"/>
          <w:szCs w:val="22"/>
        </w:rPr>
        <w:br w:type="textWrapping"/>
        <w:br w:type="textWrapping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Per quanto riguarda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Italia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, le tre maggiori materie di importazione sono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palma da olio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(1,3 milioni di tonnellate/anno), </w:t>
      </w:r>
      <w:r>
        <w:rPr>
          <w:rStyle w:val="Nessuno"/>
          <w:rFonts w:ascii="Arial" w:hAnsi="Arial"/>
          <w:b w:val="1"/>
          <w:bCs w:val="1"/>
          <w:sz w:val="22"/>
          <w:szCs w:val="22"/>
          <w:rtl w:val="0"/>
          <w:lang w:val="it-IT"/>
        </w:rPr>
        <w:t>polpa di cellulosa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(3,3 milioni) e soia (3,5 milioni). Il legno tropicale, nel quinquennio 2011-2016, si attesta sulle 224 mila tonnellate/anno ( -5.8%).</w:t>
      </w:r>
    </w:p>
    <w:p>
      <w:pPr>
        <w:pStyle w:val="Normal.0"/>
        <w:suppressAutoHyphens w:val="1"/>
        <w:spacing w:line="288" w:lineRule="auto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suppressAutoHyphens w:val="1"/>
        <w:spacing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“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industria 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chiamata a garantire filiere trasparenti e sicure - prosegue Florian - i proprietari e gestori forestali, dal canto loro, devono essere incentivati nell'applicazione di modelli volti alla valorizzazione dei servizi naturali, e premiati per il loro contributo positivo al benessere e alla resilienza dei territori. Le istituzioni pubbliche dovranno infine implementare politiche coraggiose e strategie condivise, in grado di far fronte alle sfide poste dai cambiamenti climatici. Le azioni di oggi serviranno a dare un futuro migliore alle generazioni che verranno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suppressAutoHyphens w:val="1"/>
        <w:spacing w:before="200" w:line="288" w:lineRule="auto"/>
      </w:pPr>
      <w:r>
        <w:rPr>
          <w:rStyle w:val="Nessuno"/>
          <w:rFonts w:ascii="Arial" w:cs="Arial" w:hAnsi="Arial" w:eastAsia="Arial"/>
          <w:sz w:val="22"/>
          <w:szCs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Gestione Forestale Responsabile - Servizi. s.r.l impresa sociale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gfr-servizi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@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pec.it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C.F/P. IVA 04894270281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863998</wp:posOffset>
          </wp:positionH>
          <wp:positionV relativeFrom="page">
            <wp:posOffset>9352800</wp:posOffset>
          </wp:positionV>
          <wp:extent cx="5828501" cy="33626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27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9507965</wp:posOffset>
          </wp:positionV>
          <wp:extent cx="1078865" cy="480784"/>
          <wp:effectExtent l="0" t="0" r="0" b="0"/>
          <wp:wrapNone/>
          <wp:docPr id="1073741829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876697</wp:posOffset>
          </wp:positionH>
          <wp:positionV relativeFrom="page">
            <wp:posOffset>9352800</wp:posOffset>
          </wp:positionV>
          <wp:extent cx="5828501" cy="33626"/>
          <wp:effectExtent l="0" t="0" r="0" b="0"/>
          <wp:wrapNone/>
          <wp:docPr id="1073741830" name="officeArt object" descr="image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tif" descr="image2.ti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2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4"/>
      <w:szCs w:val="24"/>
      <w:u w:val="none" w:color="4f81bd"/>
      <w:vertAlign w:val="baseline"/>
      <w:lang w:val="it-IT"/>
      <w14:textFill>
        <w14:solidFill>
          <w14:srgbClr w14:val="4F81B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it-IT"/>
      <w14:textFill>
        <w14:solidFill>
          <w14:srgbClr w14:val="365F91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b w:val="1"/>
      <w:bCs w:val="1"/>
      <w:outline w:val="0"/>
      <w:color w:val="000000"/>
      <w:sz w:val="22"/>
      <w:szCs w:val="22"/>
      <w:u w:val="single" w:color="000000"/>
      <w14:textFill>
        <w14:solidFill>
          <w14:srgbClr w14:val="000000"/>
        </w14:solidFill>
      </w14:textFill>
    </w:rPr>
  </w:style>
  <w:style w:type="paragraph" w:styleId="clearfix">
    <w:name w:val="clearfix"/>
    <w:next w:val="clearfix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