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spacing w:line="264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COMUNICATO STAMPA</w:t>
      </w:r>
    </w:p>
    <w:p>
      <w:pPr>
        <w:pStyle w:val="Corpo A"/>
        <w:suppressAutoHyphens w:val="1"/>
        <w:spacing w:line="264" w:lineRule="auto"/>
        <w:jc w:val="center"/>
        <w:rPr>
          <w:b w:val="1"/>
          <w:bCs w:val="1"/>
        </w:rPr>
      </w:pPr>
    </w:p>
    <w:p>
      <w:pPr>
        <w:pStyle w:val="Corpo A"/>
        <w:suppressAutoHyphens w:val="1"/>
        <w:spacing w:line="264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Dagli incendi alla crisi climatica, Diego Florian (Direttore FSC Italia): </w:t>
      </w:r>
    </w:p>
    <w:p>
      <w:pPr>
        <w:pStyle w:val="Corpo A"/>
        <w:suppressAutoHyphens w:val="1"/>
        <w:spacing w:line="264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“</w:t>
      </w:r>
      <w:r>
        <w:rPr>
          <w:b w:val="1"/>
          <w:bCs w:val="1"/>
          <w:sz w:val="28"/>
          <w:szCs w:val="28"/>
          <w:rtl w:val="0"/>
          <w:lang w:val="it-IT"/>
        </w:rPr>
        <w:t>Occorre agire per migliorare adattamento e resilienza delle foreste</w:t>
      </w:r>
      <w:r>
        <w:rPr>
          <w:b w:val="1"/>
          <w:bCs w:val="1"/>
          <w:sz w:val="28"/>
          <w:szCs w:val="28"/>
          <w:rtl w:val="0"/>
          <w:lang w:val="it-IT"/>
        </w:rPr>
        <w:t>”</w:t>
      </w:r>
    </w:p>
    <w:p>
      <w:pPr>
        <w:pStyle w:val="Corpo A"/>
        <w:suppressAutoHyphens w:val="1"/>
        <w:spacing w:line="264" w:lineRule="auto"/>
      </w:pP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>Dalla California alla Grecia, dal Sudamerica alla Siberia,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Egitto alla Sicilia, dalla Turchia  alla Calabria e alla Sardegna, gli </w:t>
      </w:r>
      <w:r>
        <w:rPr>
          <w:b w:val="1"/>
          <w:bCs w:val="1"/>
          <w:rtl w:val="0"/>
          <w:lang w:val="it-IT"/>
        </w:rPr>
        <w:t>incendi</w:t>
      </w:r>
      <w:r>
        <w:rPr>
          <w:rtl w:val="0"/>
          <w:lang w:val="it-IT"/>
        </w:rPr>
        <w:t xml:space="preserve"> stanno segnando questa estate 2021. Fenomeni che, ironia della sorte, avvengono proprio nei giorni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uscita del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preoccupante dei sei rapporti del </w:t>
      </w:r>
      <w:r>
        <w:rPr>
          <w:b w:val="1"/>
          <w:bCs w:val="1"/>
          <w:rtl w:val="0"/>
          <w:lang w:val="it-IT"/>
        </w:rPr>
        <w:t>Gruppo intergovernativo sui cambiamenti climatici</w:t>
      </w:r>
      <w:r>
        <w:rPr>
          <w:rtl w:val="0"/>
          <w:lang w:val="it-IT"/>
        </w:rPr>
        <w:t xml:space="preserve"> (Intergovernmental Panel on Climate Change, Ipcc). In esso si parla apertamente di </w:t>
      </w:r>
      <w:r>
        <w:rPr>
          <w:b w:val="1"/>
          <w:bCs w:val="1"/>
          <w:rtl w:val="0"/>
          <w:lang w:val="it-IT"/>
        </w:rPr>
        <w:t xml:space="preserve">crisi climatica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irreversibile</w:t>
      </w:r>
      <w:r>
        <w:rPr>
          <w:b w:val="1"/>
          <w:bCs w:val="1"/>
          <w:rtl w:val="0"/>
          <w:lang w:val="it-IT"/>
        </w:rPr>
        <w:t xml:space="preserve">” </w:t>
      </w:r>
      <w:r>
        <w:rPr>
          <w:b w:val="1"/>
          <w:bCs w:val="1"/>
          <w:rtl w:val="0"/>
          <w:lang w:val="it-IT"/>
        </w:rPr>
        <w:t xml:space="preserve">dalle conseguenze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devastanti</w:t>
      </w:r>
      <w:r>
        <w:rPr>
          <w:b w:val="1"/>
          <w:bCs w:val="1"/>
          <w:rtl w:val="0"/>
          <w:lang w:val="it-IT"/>
        </w:rPr>
        <w:t>”</w:t>
      </w:r>
      <w:r>
        <w:rPr>
          <w:rtl w:val="0"/>
          <w:lang w:val="it-IT"/>
        </w:rPr>
        <w:t>, caratterizzata da un aumento della frequenza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intensit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fenomeni metereologici estremi: ondate di calore, freddo, pioggia, siccit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neve, vento, inondazioni e altro ancora.</w:t>
      </w: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Davvero non possiamo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permetterci di agire solo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emergenza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commenta il Direttore del Forest Stewardship Council (FSC) Italia, </w:t>
      </w:r>
      <w:r>
        <w:rPr>
          <w:b w:val="1"/>
          <w:bCs w:val="1"/>
          <w:rtl w:val="0"/>
          <w:lang w:val="it-IT"/>
        </w:rPr>
        <w:t>Diego Florian</w:t>
      </w:r>
      <w:r>
        <w:rPr>
          <w:rtl w:val="0"/>
          <w:lang w:val="it-IT"/>
        </w:rPr>
        <w:t xml:space="preserve"> – </w:t>
      </w:r>
      <w:r>
        <w:rPr>
          <w:rtl w:val="0"/>
          <w:lang w:val="it-IT"/>
        </w:rPr>
        <w:t xml:space="preserve">e sugli incendi, in particolare, vanno messe in atto tutte le azioni necessarie a </w:t>
      </w:r>
      <w:r>
        <w:rPr>
          <w:b w:val="1"/>
          <w:bCs w:val="1"/>
          <w:rtl w:val="0"/>
          <w:lang w:val="it-IT"/>
        </w:rPr>
        <w:t>salvaguardare il patrimonio universale costituito da boschi e foreste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FSC, Ong che da 20 anni promuove in Italia la gestione forestale sostenibile, sollecita quindi interventi che aumentino la resilienza di boschi: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il patrimonio forestale e il territorio vengono </w:t>
      </w:r>
      <w:r>
        <w:rPr>
          <w:u w:color="ff0000"/>
          <w:rtl w:val="0"/>
          <w:lang w:val="it-IT"/>
        </w:rPr>
        <w:t xml:space="preserve">gestiti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spiega Florian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si possono contenere gli incendi, in </w:t>
      </w:r>
      <w:r>
        <w:rPr>
          <w:b w:val="1"/>
          <w:bCs w:val="1"/>
          <w:rtl w:val="0"/>
          <w:lang w:val="it-IT"/>
        </w:rPr>
        <w:t>un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ottica di adattamento</w:t>
      </w:r>
      <w:r>
        <w:rPr>
          <w:rtl w:val="0"/>
          <w:lang w:val="it-IT"/>
        </w:rPr>
        <w:t>: oltre alla prevenzione, dobbiamo quindi creare e valorizzare foreste che sappiano adeguarsi ai radicali cambiamenti in corso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>Per FSC infatti siamo di fronte a un paradosso: i numeri dicono che gli incendi nel mondo sono generalmente in calo di anno in anno, ma la crisi climatica ne sta aumentando la portata e l'imprevedibilit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L'attivit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degli incendi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infatti in aumento in alcune regioni, ma se si considera l'area totale bruciata a livello globale,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"https://royalsociety.org/blog/2020/10/global-trends-wildfire/"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non si registra ancora un aumento complessivo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 xml:space="preserve">Ogni anno, infatti, sono mediamente 400 milioni (fonte Nazioni Unite) gli ettari nel mondo interessati da incendi (480 mila solo in Italia secondo una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"https://www.greenpeace.org/static/planet4-italy-stateless/2020/08/1e5628b6-report_incendicc_finale.pdf"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ricerca Greenpeace</w:t>
      </w:r>
      <w:r>
        <w:rPr/>
        <w:fldChar w:fldCharType="end" w:fldLock="0"/>
      </w:r>
      <w:r>
        <w:rPr>
          <w:rtl w:val="0"/>
          <w:lang w:val="it-IT"/>
        </w:rPr>
        <w:t xml:space="preserve"> di un anno fa): di questi, il 10% sono foreste.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Sono tre gli elementi che innescano gli incendi: il combustibile, ossia legno, erba secca o cespugli;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aria, che fornisce ossigeno alla fiamma e che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trasportare le scintille anche per diversi chilometri; e la fonte di calore, come fulmini, fuochi incustoditi, mozziconi di sigaretta non spenti o atti dolosi. Per contenere le fiamme servono quindi strade taglia fuoco,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azione di fuochi controllati, tecnologie innovative come sensori di calore, ma anche la pulizia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asporto del materiale secco e la formazione di squadre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intervento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aggiunge Florian, che spiega anche come fra il 1979 e il 2013 la durata della stagione globale degli incendi sia aumentata in media del 19%: una espansione da attribuire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influsso negativo della crisi climatica (dati WWF del 2020).</w:t>
      </w: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>La stagione degli incendi, infatti, a causa della crisi climatica arriva prima e dura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 lungo, lasciando sempre meno tempo alla vegetazione per riprendersi e tempo alle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 gestire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emergenza.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aumento delle temperature globali e 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frequenti periodi di siccit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stanno infine causando un calo dell'umidit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 suolo, lasciando spazio ad incendi che bruciano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in profondit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 causano danni maggiori. Questi impatti a loro volta finiscono per alimentare un circolo vizioso: bruciando, le foreste emettono grossi quantitativi di anidride carbonica, il principale responsabile del surriscaldamento globale. </w:t>
      </w:r>
    </w:p>
    <w:p>
      <w:pPr>
        <w:pStyle w:val="Corpo A"/>
        <w:suppressAutoHyphens w:val="1"/>
        <w:spacing w:before="240" w:line="276" w:lineRule="auto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che far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la differenza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conclude Florian -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aiutare le foreste e le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ad adattarsi e cambiare, ma non per eliminare il rischio: per integrarlo. Gli incendi boschivi sono sempre esistiti, e interi ecosistemi naturali dipendono da queste dinamiche: sta a noi creare le condizioni per territori resistenti alle grandi emergenze grazie alla gestione forestale e alla bioeconomia ad essa associata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Corpo A"/>
        <w:suppressAutoHyphens w:val="1"/>
        <w:spacing w:before="240" w:line="276" w:lineRule="auto"/>
      </w:pPr>
    </w:p>
    <w:p>
      <w:pPr>
        <w:pStyle w:val="Normal.0"/>
        <w:suppressAutoHyphens w:val="1"/>
        <w:spacing w:line="264" w:lineRule="auto"/>
        <w:rPr>
          <w:rFonts w:ascii="Arial" w:cs="Arial" w:hAnsi="Arial" w:eastAsia="Arial"/>
          <w:lang w:val="en-US"/>
        </w:rPr>
      </w:pP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>Il Forest Stewardship Council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vertAlign w:val="superscript"/>
          <w:rtl w:val="0"/>
          <w:lang w:val="en-US"/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(FSC</w:t>
      </w:r>
      <w:r>
        <w:rPr>
          <w:rStyle w:val="Nessuno"/>
          <w:rFonts w:ascii="Arial" w:hAnsi="Arial" w:hint="default"/>
          <w:b w:val="1"/>
          <w:bCs w:val="1"/>
          <w:i w:val="1"/>
          <w:iCs w:val="1"/>
          <w:vertAlign w:val="superscript"/>
          <w:rtl w:val="0"/>
          <w:lang w:val="en-US"/>
        </w:rPr>
        <w:t>®</w:t>
      </w:r>
      <w:r>
        <w:rPr>
          <w:rStyle w:val="Nessuno"/>
          <w:rFonts w:ascii="Arial" w:hAnsi="Arial"/>
          <w:b w:val="1"/>
          <w:bCs w:val="1"/>
          <w:i w:val="1"/>
          <w:iCs w:val="1"/>
          <w:rtl w:val="0"/>
          <w:lang w:val="en-US"/>
        </w:rPr>
        <w:t>)</w:t>
      </w:r>
    </w:p>
    <w:p>
      <w:pPr>
        <w:pStyle w:val="Normal.0"/>
        <w:suppressAutoHyphens w:val="1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Il Forest Stewardship Council (FSC)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un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organizzazione non governativa e no-profit che include tra i suoi 900 membri internazionali gruppi ambientalisti e sociali, comunit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suppressAutoHyphens w:val="1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uppressAutoHyphens w:val="1"/>
        <w:spacing w:line="264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Normal.0"/>
        <w:suppressAutoHyphens w:val="1"/>
        <w:spacing w:line="264" w:lineRule="auto"/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Nel 2018 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Italia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stato il primo Paese al mondo a verificare scientificamente e certificare gli impatti positivi della gestione responsabile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 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sui servizi naturali forestali, e le ricadute ambientali, sociali ed economiche di tali impatti.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361" w:bottom="2160" w:left="1275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  <w:tab w:val="clear" w:pos="4536"/>
        <w:tab w:val="clear" w:pos="9072"/>
      </w:tabs>
      <w:spacing w:before="120" w:after="120" w:line="280" w:lineRule="exact"/>
      <w:jc w:val="right"/>
      <w:rPr>
        <w:rFonts w:ascii="Arial" w:cs="Arial" w:hAnsi="Arial" w:eastAsia="Arial"/>
        <w:b w:val="0"/>
        <w:bCs w:val="0"/>
        <w:sz w:val="18"/>
        <w:szCs w:val="18"/>
        <w14:textOutline w14:w="12700" w14:cap="flat">
          <w14:noFill/>
          <w14:miter w14:lim="400000"/>
        </w14:textOutline>
      </w:rPr>
    </w:pPr>
    <w:r>
      <w:rPr>
        <w:rFonts w:ascii="Arial" w:cs="Arial" w:hAnsi="Arial" w:eastAsia="Arial"/>
        <w:b w:val="0"/>
        <w:bCs w:val="0"/>
        <w:sz w:val="18"/>
        <w:szCs w:val="18"/>
        <w:lang w:val="en-US"/>
        <w14:textOutline w14:w="12700" w14:cap="flat">
          <w14:noFill/>
          <w14:miter w14:lim="400000"/>
        </w14:textOutline>
      </w:rPr>
      <w:tab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instrText xml:space="preserve"> PAGE </w:instrTex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" w:hAnsi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t xml:space="preserve"> di </w: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instrText xml:space="preserve"> NUMPAGES </w:instrTex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br w:type="textWrapping"/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F000217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Italia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Direttore: Dr. Diego Florian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  <w:tab w:val="clear" w:pos="4536"/>
        <w:tab w:val="clear" w:pos="9072"/>
      </w:tabs>
      <w:spacing w:before="120" w:after="120" w:line="280" w:lineRule="exact"/>
      <w:jc w:val="right"/>
      <w:rPr>
        <w:rFonts w:ascii="Arial" w:cs="Arial" w:hAnsi="Arial" w:eastAsia="Arial"/>
        <w:b w:val="0"/>
        <w:bCs w:val="0"/>
        <w:sz w:val="18"/>
        <w:szCs w:val="18"/>
        <w14:textOutline w14:w="12700" w14:cap="flat">
          <w14:noFill/>
          <w14:miter w14:lim="400000"/>
        </w14:textOutline>
      </w:rPr>
    </w:pPr>
    <w:r>
      <w:rPr>
        <w:rFonts w:ascii="Arial" w:cs="Arial" w:hAnsi="Arial" w:eastAsia="Arial"/>
        <w:b w:val="0"/>
        <w:bCs w:val="0"/>
        <w:sz w:val="18"/>
        <w:szCs w:val="18"/>
        <w:lang w:val="en-US"/>
        <w14:textOutline w14:w="12700" w14:cap="flat">
          <w14:noFill/>
          <w14:miter w14:lim="400000"/>
        </w14:textOutline>
      </w:rPr>
      <w:tab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instrText xml:space="preserve"> PAGE </w:instrTex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" w:hAnsi="Arial"/>
        <w:b w:val="0"/>
        <w:bCs w:val="0"/>
        <w:sz w:val="18"/>
        <w:szCs w:val="18"/>
        <w:rtl w:val="0"/>
        <w:lang w:val="it-IT"/>
        <w14:textOutline w14:w="12700" w14:cap="flat">
          <w14:noFill/>
          <w14:miter w14:lim="400000"/>
        </w14:textOutline>
      </w:rPr>
      <w:t xml:space="preserve"> di </w: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begin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instrText xml:space="preserve"> NUMPAGES </w:instrText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separate" w:fldLock="0"/>
    </w:r>
    <w:r>
      <w:rPr>
        <w:rFonts w:ascii="Arial" w:cs="Arial" w:hAnsi="Arial" w:eastAsia="Arial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sz w:val="18"/>
        <w:szCs w:val="18"/>
        <w:lang w:val="it-IT"/>
        <w14:textOutline w14:w="12700" w14:cap="flat">
          <w14:noFill/>
          <w14:miter w14:lim="400000"/>
        </w14:textOutline>
      </w:rPr>
      <w:br w:type="textWrapping"/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F000217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Italia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Direttore: Dr. Diego Florian</w:t>
    </w:r>
  </w:p>
  <w:p>
    <w:pPr>
      <w:pStyle w:val="Normal.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64"/>
      </w:tabs>
      <w:spacing w:line="240" w:lineRule="exact"/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Outline w14:w="12700" w14:cap="flat">
          <w14:noFill/>
          <w14:miter w14:lim="400000"/>
        </w14:textOutline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6667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883046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27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rFonts w:ascii="Arial" w:hAnsi="Arial" w:hint="default"/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>®</w:t>
    </w:r>
    <w:r>
      <w:rPr>
        <w:rFonts w:ascii="Arial" w:hAnsi="Arial"/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spacing w:line="288" w:lineRule="auto"/>
      <w:jc w:val="right"/>
      <w:rPr>
        <w:rFonts w:ascii="Arial" w:cs="Arial" w:hAnsi="Arial" w:eastAsia="Arial"/>
        <w:outline w:val="0"/>
        <w:color w:val="32503c"/>
        <w:sz w:val="32"/>
        <w:szCs w:val="32"/>
        <w:u w:color="32503c"/>
        <w14:textFill>
          <w14:solidFill>
            <w14:srgbClr w14:val="32503C"/>
          </w14:solidFill>
        </w14:textFill>
      </w:rPr>
    </w:pPr>
    <w:r>
      <w:rPr>
        <w:lang w:val="en-US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867410</wp:posOffset>
          </wp:positionH>
          <wp:positionV relativeFrom="page">
            <wp:posOffset>490219</wp:posOffset>
          </wp:positionV>
          <wp:extent cx="679450" cy="786131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861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en-US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9478798</wp:posOffset>
          </wp:positionV>
          <wp:extent cx="1078865" cy="539116"/>
          <wp:effectExtent l="0" t="0" r="0" b="0"/>
          <wp:wrapNone/>
          <wp:docPr id="1073741829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en-US"/>
      </w:rP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883046</wp:posOffset>
          </wp:positionH>
          <wp:positionV relativeFrom="page">
            <wp:posOffset>9352798</wp:posOffset>
          </wp:positionV>
          <wp:extent cx="5828501" cy="33626"/>
          <wp:effectExtent l="0" t="0" r="0" b="0"/>
          <wp:wrapNone/>
          <wp:docPr id="1073741830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 descr="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rFonts w:ascii="Arial" w:hAnsi="Arial"/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rFonts w:ascii="Arial" w:hAnsi="Arial" w:hint="default"/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 xml:space="preserve">®                                                                                                      </w:t>
    </w:r>
  </w:p>
  <w:p>
    <w:pPr>
      <w:pStyle w:val="Normal.0"/>
      <w:tabs>
        <w:tab w:val="center" w:pos="4536"/>
        <w:tab w:val="right" w:pos="9072"/>
      </w:tabs>
      <w:spacing w:line="288" w:lineRule="auto"/>
    </w:pPr>
    <w:r>
      <w:rPr>
        <w:rFonts w:ascii="Arial" w:hAnsi="Arial"/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