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534034</wp:posOffset>
                </wp:positionH>
                <wp:positionV relativeFrom="page">
                  <wp:posOffset>901064</wp:posOffset>
                </wp:positionV>
                <wp:extent cx="2298912" cy="565660"/>
                <wp:effectExtent l="0" t="0" r="0" b="0"/>
                <wp:wrapSquare wrapText="bothSides" distL="152400" distR="152400" distT="152400" distB="152400"/>
                <wp:docPr id="1073741831" name="officeArt object" descr="Forest Stewardship Council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2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0.9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4652710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  <w:lang w:val="it-IT"/>
        </w:rPr>
        <w:t>Un nuovo studio conferma</w:t>
      </w:r>
      <w:r>
        <w:rPr>
          <w:b w:val="1"/>
          <w:bCs w:val="1"/>
          <w:sz w:val="22"/>
          <w:szCs w:val="22"/>
          <w:rtl w:val="0"/>
          <w:lang w:val="it-IT"/>
        </w:rPr>
        <w:t>: nel</w:t>
      </w:r>
      <w:r>
        <w:rPr>
          <w:b w:val="1"/>
          <w:bCs w:val="1"/>
          <w:sz w:val="22"/>
          <w:szCs w:val="22"/>
          <w:rtl w:val="0"/>
          <w:lang w:val="it-IT"/>
        </w:rPr>
        <w:t xml:space="preserve">le foreste certificate FSC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del </w:t>
      </w:r>
      <w:r>
        <w:rPr>
          <w:b w:val="1"/>
          <w:bCs w:val="1"/>
          <w:sz w:val="22"/>
          <w:szCs w:val="22"/>
          <w:rtl w:val="0"/>
          <w:lang w:val="it-IT"/>
        </w:rPr>
        <w:t>bacino del Congo</w:t>
      </w:r>
      <w:r>
        <w:rPr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 xml:space="preserve">la fauna selvatica </w:t>
      </w:r>
      <w:r>
        <w:rPr>
          <w:b w:val="1"/>
          <w:bCs w:val="1"/>
          <w:sz w:val="22"/>
          <w:szCs w:val="22"/>
          <w:rtl w:val="0"/>
          <w:lang w:val="it-IT"/>
        </w:rPr>
        <w:t>prospera</w:t>
      </w:r>
    </w:p>
    <w:p>
      <w:pPr>
        <w:pStyle w:val="Corpo"/>
        <w:spacing w:before="0" w:after="0" w:line="288" w:lineRule="auto"/>
        <w:rPr>
          <w:b w:val="1"/>
          <w:bCs w:val="1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i w:val="1"/>
          <w:iCs w:val="1"/>
          <w:sz w:val="22"/>
          <w:szCs w:val="22"/>
          <w:rtl w:val="0"/>
          <w:lang w:val="it-IT"/>
        </w:rPr>
      </w:pPr>
      <w:r>
        <w:rPr>
          <w:i w:val="1"/>
          <w:iCs w:val="1"/>
          <w:sz w:val="22"/>
          <w:szCs w:val="22"/>
          <w:rtl w:val="0"/>
          <w:lang w:val="de-DE"/>
        </w:rPr>
        <w:t xml:space="preserve">Nuove </w:t>
      </w:r>
      <w:r>
        <w:rPr>
          <w:i w:val="1"/>
          <w:iCs w:val="1"/>
          <w:sz w:val="22"/>
          <w:szCs w:val="22"/>
          <w:rtl w:val="0"/>
          <w:lang w:val="de-DE"/>
        </w:rPr>
        <w:t xml:space="preserve">prove </w:t>
      </w:r>
      <w:r>
        <w:rPr>
          <w:i w:val="1"/>
          <w:iCs w:val="1"/>
          <w:sz w:val="22"/>
          <w:szCs w:val="22"/>
          <w:rtl w:val="0"/>
          <w:lang w:val="de-DE"/>
        </w:rPr>
        <w:t>arrivano da una</w:t>
      </w:r>
      <w:r>
        <w:rPr>
          <w:i w:val="1"/>
          <w:iCs w:val="1"/>
          <w:sz w:val="22"/>
          <w:szCs w:val="22"/>
          <w:rtl w:val="0"/>
          <w:lang w:val="de-DE"/>
        </w:rPr>
        <w:t xml:space="preserve"> ricerca condotta dall'Universit</w:t>
      </w:r>
      <w:r>
        <w:rPr>
          <w:i w:val="1"/>
          <w:iCs w:val="1"/>
          <w:sz w:val="22"/>
          <w:szCs w:val="22"/>
          <w:rtl w:val="0"/>
          <w:lang w:val="de-DE"/>
        </w:rPr>
        <w:t xml:space="preserve">à </w:t>
      </w:r>
      <w:r>
        <w:rPr>
          <w:i w:val="1"/>
          <w:iCs w:val="1"/>
          <w:sz w:val="22"/>
          <w:szCs w:val="22"/>
          <w:rtl w:val="0"/>
          <w:lang w:val="de-DE"/>
        </w:rPr>
        <w:t xml:space="preserve">di Utrecht con il sostegno </w:t>
      </w:r>
      <w:r>
        <w:rPr>
          <w:i w:val="1"/>
          <w:iCs w:val="1"/>
          <w:sz w:val="22"/>
          <w:szCs w:val="22"/>
          <w:rtl w:val="0"/>
          <w:lang w:val="de-DE"/>
        </w:rPr>
        <w:t>di</w:t>
      </w:r>
      <w:r>
        <w:rPr>
          <w:i w:val="1"/>
          <w:iCs w:val="1"/>
          <w:sz w:val="22"/>
          <w:szCs w:val="22"/>
          <w:rtl w:val="0"/>
          <w:lang w:val="de-DE"/>
        </w:rPr>
        <w:t xml:space="preserve"> WWF e Wildlife Conservation Society (WCS)</w:t>
      </w:r>
      <w:r>
        <w:rPr>
          <w:i w:val="1"/>
          <w:iCs w:val="1"/>
          <w:sz w:val="22"/>
          <w:szCs w:val="22"/>
          <w:rtl w:val="0"/>
          <w:lang w:val="de-DE"/>
        </w:rPr>
        <w:t>,</w:t>
      </w:r>
      <w:r>
        <w:rPr>
          <w:i w:val="1"/>
          <w:iCs w:val="1"/>
          <w:sz w:val="22"/>
          <w:szCs w:val="22"/>
          <w:rtl w:val="0"/>
          <w:lang w:val="de-DE"/>
        </w:rPr>
        <w:t xml:space="preserve"> </w:t>
      </w:r>
      <w:r>
        <w:rPr>
          <w:i w:val="1"/>
          <w:iCs w:val="1"/>
          <w:sz w:val="22"/>
          <w:szCs w:val="22"/>
          <w:rtl w:val="0"/>
          <w:lang w:val="de-DE"/>
        </w:rPr>
        <w:t xml:space="preserve">e dimostrano </w:t>
      </w:r>
      <w:r>
        <w:rPr>
          <w:i w:val="1"/>
          <w:iCs w:val="1"/>
          <w:sz w:val="22"/>
          <w:szCs w:val="22"/>
          <w:rtl w:val="0"/>
          <w:lang w:val="de-DE"/>
        </w:rPr>
        <w:t xml:space="preserve">che le foreste certificate in Gabon e nella Repubblica del Congo ospitano una maggiore abbondanza di </w:t>
      </w:r>
      <w:r>
        <w:rPr>
          <w:i w:val="1"/>
          <w:iCs w:val="1"/>
          <w:sz w:val="22"/>
          <w:szCs w:val="22"/>
          <w:rtl w:val="0"/>
          <w:lang w:val="de-DE"/>
        </w:rPr>
        <w:t xml:space="preserve">grandi </w:t>
      </w:r>
      <w:r>
        <w:rPr>
          <w:i w:val="1"/>
          <w:iCs w:val="1"/>
          <w:sz w:val="22"/>
          <w:szCs w:val="22"/>
          <w:rtl w:val="0"/>
          <w:lang w:val="de-DE"/>
        </w:rPr>
        <w:t>mammiferi e specie in grave pericolo di estinzione, come gorilla ed elefanti, rispetto a</w:t>
      </w:r>
      <w:r>
        <w:rPr>
          <w:i w:val="1"/>
          <w:iCs w:val="1"/>
          <w:sz w:val="22"/>
          <w:szCs w:val="22"/>
          <w:rtl w:val="0"/>
          <w:lang w:val="de-DE"/>
        </w:rPr>
        <w:t xml:space="preserve">lle aree </w:t>
      </w:r>
      <w:r>
        <w:rPr>
          <w:i w:val="1"/>
          <w:iCs w:val="1"/>
          <w:sz w:val="22"/>
          <w:szCs w:val="22"/>
          <w:rtl w:val="0"/>
          <w:lang w:val="de-DE"/>
        </w:rPr>
        <w:t>non certificate</w:t>
      </w:r>
      <w:r>
        <w:rPr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i w:val="1"/>
          <w:iCs w:val="1"/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Bonn (Germania), 10 Aprile 2024 - Attraverso censimenti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 xml:space="preserve">meticolosi </w:t>
      </w:r>
      <w:r>
        <w:rPr>
          <w:sz w:val="22"/>
          <w:szCs w:val="22"/>
          <w:rtl w:val="0"/>
          <w:lang w:val="it-IT"/>
        </w:rPr>
        <w:t xml:space="preserve">e </w:t>
      </w: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uso di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alcune</w:t>
      </w:r>
      <w:r>
        <w:rPr>
          <w:sz w:val="22"/>
          <w:szCs w:val="22"/>
          <w:rtl w:val="0"/>
          <w:lang w:val="it-IT"/>
        </w:rPr>
        <w:t xml:space="preserve"> foto</w:t>
      </w:r>
      <w:r>
        <w:rPr>
          <w:sz w:val="22"/>
          <w:szCs w:val="22"/>
          <w:rtl w:val="0"/>
          <w:lang w:val="it-IT"/>
        </w:rPr>
        <w:t>trappole</w:t>
      </w:r>
      <w:r>
        <w:rPr>
          <w:sz w:val="22"/>
          <w:szCs w:val="22"/>
          <w:rtl w:val="0"/>
          <w:lang w:val="it-IT"/>
        </w:rPr>
        <w:t xml:space="preserve"> Joeri Zwerts</w:t>
      </w:r>
      <w:r>
        <w:rPr>
          <w:sz w:val="22"/>
          <w:szCs w:val="22"/>
          <w:rtl w:val="0"/>
          <w:lang w:val="it-IT"/>
        </w:rPr>
        <w:t xml:space="preserve">, ecologo </w:t>
      </w:r>
      <w:r>
        <w:rPr>
          <w:sz w:val="22"/>
          <w:szCs w:val="22"/>
          <w:rtl w:val="0"/>
          <w:lang w:val="it-IT"/>
        </w:rPr>
        <w:t>presso l'Universit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di Utrecht</w:t>
      </w:r>
      <w:r>
        <w:rPr>
          <w:sz w:val="22"/>
          <w:szCs w:val="22"/>
          <w:rtl w:val="0"/>
          <w:lang w:val="it-IT"/>
        </w:rPr>
        <w:t xml:space="preserve"> e direttore della ricerca, ha dimostrato</w:t>
      </w:r>
      <w:r>
        <w:rPr>
          <w:sz w:val="22"/>
          <w:szCs w:val="22"/>
          <w:rtl w:val="0"/>
          <w:lang w:val="it-IT"/>
        </w:rPr>
        <w:t xml:space="preserve"> che le concessioni certificate </w:t>
      </w:r>
      <w:r>
        <w:rPr>
          <w:sz w:val="22"/>
          <w:szCs w:val="22"/>
          <w:rtl w:val="0"/>
          <w:lang w:val="it-IT"/>
        </w:rPr>
        <w:t xml:space="preserve">nel bacino del Congo </w:t>
      </w:r>
      <w:r>
        <w:rPr>
          <w:sz w:val="22"/>
          <w:szCs w:val="22"/>
          <w:rtl w:val="0"/>
          <w:lang w:val="it-IT"/>
        </w:rPr>
        <w:t>ospitano una popolazione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ampia di grandi mammiferi: 2,7 volte di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per i mammiferi di peso superiore a 100 kg, come gorilla ed elefanti delle foreste, e 2,5 volte di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per i mammiferi di peso compreso tra 30 e 100 kg, come leopardi e scimpanz</w:t>
      </w:r>
      <w:r>
        <w:rPr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, rispetto alle aree non sottoposte a gestione.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Non solo: i tassi </w:t>
      </w:r>
      <w:r>
        <w:rPr>
          <w:sz w:val="22"/>
          <w:szCs w:val="22"/>
          <w:rtl w:val="0"/>
          <w:lang w:val="it-IT"/>
        </w:rPr>
        <w:t xml:space="preserve">di </w:t>
      </w:r>
      <w:r>
        <w:rPr>
          <w:sz w:val="22"/>
          <w:szCs w:val="22"/>
          <w:rtl w:val="0"/>
          <w:lang w:val="it-IT"/>
        </w:rPr>
        <w:t>avvistamento di</w:t>
      </w:r>
      <w:r>
        <w:rPr>
          <w:sz w:val="22"/>
          <w:szCs w:val="22"/>
          <w:rtl w:val="0"/>
          <w:lang w:val="it-IT"/>
        </w:rPr>
        <w:t xml:space="preserve"> grandi mammiferi </w:t>
      </w:r>
      <w:r>
        <w:rPr>
          <w:sz w:val="22"/>
          <w:szCs w:val="22"/>
          <w:rtl w:val="0"/>
          <w:lang w:val="it-IT"/>
        </w:rPr>
        <w:t xml:space="preserve">- tra </w:t>
      </w:r>
      <w:r>
        <w:rPr>
          <w:sz w:val="22"/>
          <w:szCs w:val="22"/>
          <w:rtl w:val="0"/>
          <w:lang w:val="it-IT"/>
        </w:rPr>
        <w:t xml:space="preserve">le prime specie a scomparire a causa del bracconaggio e della caccia </w:t>
      </w:r>
      <w:r>
        <w:rPr>
          <w:sz w:val="22"/>
          <w:szCs w:val="22"/>
          <w:rtl w:val="0"/>
          <w:lang w:val="it-IT"/>
        </w:rPr>
        <w:t xml:space="preserve">- </w:t>
      </w:r>
      <w:r>
        <w:rPr>
          <w:sz w:val="22"/>
          <w:szCs w:val="22"/>
          <w:rtl w:val="0"/>
          <w:lang w:val="it-IT"/>
        </w:rPr>
        <w:t xml:space="preserve">nelle foreste certificate FSC </w:t>
      </w:r>
      <w:r>
        <w:rPr>
          <w:sz w:val="22"/>
          <w:szCs w:val="22"/>
          <w:rtl w:val="0"/>
          <w:lang w:val="it-IT"/>
        </w:rPr>
        <w:t>risultano</w:t>
      </w:r>
      <w:r>
        <w:rPr>
          <w:sz w:val="22"/>
          <w:szCs w:val="22"/>
          <w:rtl w:val="0"/>
          <w:lang w:val="it-IT"/>
        </w:rPr>
        <w:t xml:space="preserve"> paragonabili </w:t>
      </w:r>
      <w:r>
        <w:rPr>
          <w:sz w:val="22"/>
          <w:szCs w:val="22"/>
          <w:rtl w:val="0"/>
          <w:lang w:val="it-IT"/>
        </w:rPr>
        <w:t>a quelli di</w:t>
      </w:r>
      <w:r>
        <w:rPr>
          <w:sz w:val="22"/>
          <w:szCs w:val="22"/>
          <w:rtl w:val="0"/>
          <w:lang w:val="it-IT"/>
        </w:rPr>
        <w:t xml:space="preserve"> aree protette monitorate nella </w:t>
      </w:r>
      <w:r>
        <w:rPr>
          <w:sz w:val="22"/>
          <w:szCs w:val="22"/>
          <w:rtl w:val="0"/>
          <w:lang w:val="it-IT"/>
        </w:rPr>
        <w:t>stessa regione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Condotto da Joeri Zwerts e dal suo team</w:t>
      </w:r>
      <w:r>
        <w:rPr>
          <w:sz w:val="22"/>
          <w:szCs w:val="22"/>
          <w:rtl w:val="0"/>
          <w:lang w:val="it-IT"/>
        </w:rPr>
        <w:t xml:space="preserve"> e </w:t>
      </w:r>
      <w:r>
        <w:rPr>
          <w:sz w:val="22"/>
          <w:szCs w:val="22"/>
          <w:rtl w:val="0"/>
          <w:lang w:val="it-IT"/>
        </w:rPr>
        <w:t>pubblicato sulla rivista scientifica Nature</w:t>
      </w:r>
      <w:r>
        <w:rPr>
          <w:sz w:val="22"/>
          <w:szCs w:val="22"/>
          <w:rtl w:val="0"/>
          <w:lang w:val="it-IT"/>
        </w:rPr>
        <w:t>, lo studio</w:t>
      </w:r>
      <w:r>
        <w:rPr>
          <w:sz w:val="22"/>
          <w:szCs w:val="22"/>
          <w:rtl w:val="0"/>
          <w:lang w:val="it-IT"/>
        </w:rPr>
        <w:t xml:space="preserve"> ha utilizzato 474 fototrappole in 14 concessioni </w:t>
      </w:r>
      <w:r>
        <w:rPr>
          <w:sz w:val="22"/>
          <w:szCs w:val="22"/>
          <w:rtl w:val="0"/>
          <w:lang w:val="it-IT"/>
        </w:rPr>
        <w:t xml:space="preserve">– </w:t>
      </w:r>
      <w:r>
        <w:rPr>
          <w:sz w:val="22"/>
          <w:szCs w:val="22"/>
          <w:rtl w:val="0"/>
          <w:lang w:val="it-IT"/>
        </w:rPr>
        <w:t xml:space="preserve">sette certificate FSC e sette non certificate FSC </w:t>
      </w:r>
      <w:r>
        <w:rPr>
          <w:sz w:val="22"/>
          <w:szCs w:val="22"/>
          <w:rtl w:val="0"/>
          <w:lang w:val="it-IT"/>
        </w:rPr>
        <w:t xml:space="preserve">– </w:t>
      </w:r>
      <w:r>
        <w:rPr>
          <w:sz w:val="22"/>
          <w:szCs w:val="22"/>
          <w:rtl w:val="0"/>
          <w:lang w:val="it-IT"/>
        </w:rPr>
        <w:t xml:space="preserve">nel bacino del Congo. </w:t>
      </w:r>
      <w:r>
        <w:rPr>
          <w:sz w:val="22"/>
          <w:szCs w:val="22"/>
          <w:rtl w:val="0"/>
          <w:lang w:val="it-IT"/>
        </w:rPr>
        <w:t>Durante il</w:t>
      </w:r>
      <w:r>
        <w:rPr>
          <w:sz w:val="22"/>
          <w:szCs w:val="22"/>
          <w:rtl w:val="0"/>
          <w:lang w:val="it-IT"/>
        </w:rPr>
        <w:t xml:space="preserve"> lavoro sul campo (</w:t>
      </w:r>
      <w:r>
        <w:rPr>
          <w:sz w:val="22"/>
          <w:szCs w:val="22"/>
          <w:rtl w:val="0"/>
          <w:lang w:val="it-IT"/>
        </w:rPr>
        <w:t xml:space="preserve">il </w:t>
      </w:r>
      <w:r>
        <w:rPr>
          <w:sz w:val="22"/>
          <w:szCs w:val="22"/>
          <w:rtl w:val="0"/>
          <w:lang w:val="it-IT"/>
        </w:rPr>
        <w:t xml:space="preserve">periodo di monitoraggio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stato </w:t>
      </w:r>
      <w:r>
        <w:rPr>
          <w:sz w:val="22"/>
          <w:szCs w:val="22"/>
          <w:rtl w:val="0"/>
          <w:lang w:val="it-IT"/>
        </w:rPr>
        <w:t>da due a tre mesi per concessione), queste trappole hanno scattato 1,3 milioni di immagini, catturando circa 55 specie di mammiferi tra cui leopardi e gorilla, oltre a varie specie in via di estinzione.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La ricerca sottolinea </w:t>
      </w:r>
      <w:r>
        <w:rPr>
          <w:sz w:val="22"/>
          <w:szCs w:val="22"/>
          <w:rtl w:val="0"/>
          <w:lang w:val="it-IT"/>
        </w:rPr>
        <w:t xml:space="preserve">anche </w:t>
      </w:r>
      <w:r>
        <w:rPr>
          <w:sz w:val="22"/>
          <w:szCs w:val="22"/>
          <w:rtl w:val="0"/>
          <w:lang w:val="it-IT"/>
        </w:rPr>
        <w:t xml:space="preserve">il ruolo </w:t>
      </w:r>
      <w:r>
        <w:rPr>
          <w:sz w:val="22"/>
          <w:szCs w:val="22"/>
          <w:rtl w:val="0"/>
          <w:lang w:val="it-IT"/>
        </w:rPr>
        <w:t>determinante</w:t>
      </w:r>
      <w:r>
        <w:rPr>
          <w:sz w:val="22"/>
          <w:szCs w:val="22"/>
          <w:rtl w:val="0"/>
          <w:lang w:val="it-IT"/>
        </w:rPr>
        <w:t xml:space="preserve"> della caccia nella perdita di biodiversit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, </w:t>
      </w:r>
      <w:r>
        <w:rPr>
          <w:sz w:val="22"/>
          <w:szCs w:val="22"/>
          <w:rtl w:val="0"/>
          <w:lang w:val="it-IT"/>
        </w:rPr>
        <w:t>ed evidenzia</w:t>
      </w:r>
      <w:r>
        <w:rPr>
          <w:sz w:val="22"/>
          <w:szCs w:val="22"/>
          <w:rtl w:val="0"/>
          <w:lang w:val="it-IT"/>
        </w:rPr>
        <w:t xml:space="preserve"> la scarsit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di </w:t>
      </w:r>
      <w:r>
        <w:rPr>
          <w:sz w:val="22"/>
          <w:szCs w:val="22"/>
          <w:rtl w:val="0"/>
          <w:lang w:val="it-IT"/>
        </w:rPr>
        <w:t>segni riconducibili a queste pratiche</w:t>
      </w:r>
      <w:r>
        <w:rPr>
          <w:sz w:val="22"/>
          <w:szCs w:val="22"/>
          <w:rtl w:val="0"/>
          <w:lang w:val="it-IT"/>
        </w:rPr>
        <w:t xml:space="preserve"> e</w:t>
      </w:r>
      <w:r>
        <w:rPr>
          <w:sz w:val="22"/>
          <w:szCs w:val="22"/>
          <w:rtl w:val="0"/>
          <w:lang w:val="it-IT"/>
        </w:rPr>
        <w:t>, per contrario,</w:t>
      </w:r>
      <w:r>
        <w:rPr>
          <w:sz w:val="22"/>
          <w:szCs w:val="22"/>
          <w:rtl w:val="0"/>
          <w:lang w:val="it-IT"/>
        </w:rPr>
        <w:t xml:space="preserve">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aumento delle tracce di fauna selvatica nelle concessioni certificate. Le misure proattive degli enti forestali certificati, come il blocco delle vecchie strade forestali, la creazione di posti di blocco e il sostegno a fonti </w:t>
      </w:r>
      <w:r>
        <w:rPr>
          <w:sz w:val="22"/>
          <w:szCs w:val="22"/>
          <w:rtl w:val="0"/>
          <w:lang w:val="it-IT"/>
        </w:rPr>
        <w:t>di cibo</w:t>
      </w:r>
      <w:r>
        <w:rPr>
          <w:sz w:val="22"/>
          <w:szCs w:val="22"/>
          <w:rtl w:val="0"/>
          <w:lang w:val="it-IT"/>
        </w:rPr>
        <w:t xml:space="preserve"> alternative per le popolazioni locali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 xml:space="preserve">hanno frenato in modo significativo la caccia illegale. </w:t>
      </w:r>
      <w:r>
        <w:rPr>
          <w:sz w:val="22"/>
          <w:szCs w:val="22"/>
          <w:rtl w:val="0"/>
          <w:lang w:val="it-IT"/>
        </w:rPr>
        <w:t>Consumando meno carne selvatica, l</w:t>
      </w:r>
      <w:r>
        <w:rPr>
          <w:sz w:val="22"/>
          <w:szCs w:val="22"/>
          <w:rtl w:val="0"/>
          <w:lang w:val="it-IT"/>
        </w:rPr>
        <w:t>e comunit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che vivono nei pressi delle concessioni certificate </w:t>
      </w:r>
      <w:r>
        <w:rPr>
          <w:sz w:val="22"/>
          <w:szCs w:val="22"/>
          <w:rtl w:val="0"/>
          <w:lang w:val="it-IT"/>
        </w:rPr>
        <w:t>comprese nello studio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hanno contribuito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>anche a ridurre</w:t>
      </w:r>
      <w:r>
        <w:rPr>
          <w:sz w:val="22"/>
          <w:szCs w:val="22"/>
          <w:rtl w:val="0"/>
          <w:lang w:val="it-IT"/>
        </w:rPr>
        <w:t xml:space="preserve"> il rischio di diffusione di malattie di origine </w:t>
      </w:r>
      <w:r>
        <w:rPr>
          <w:sz w:val="22"/>
          <w:szCs w:val="22"/>
          <w:rtl w:val="0"/>
          <w:lang w:val="it-IT"/>
        </w:rPr>
        <w:t>animale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Lo studio mostra come le pratiche forestali sostenibili possano contribuire alla conservazione delle popolazioni di grandi mammiferi e alla protezione delle foreste tropicali esistenti. </w:t>
      </w:r>
      <w:r>
        <w:rPr>
          <w:sz w:val="22"/>
          <w:szCs w:val="22"/>
          <w:rtl w:val="0"/>
          <w:lang w:val="it-IT"/>
        </w:rPr>
        <w:t xml:space="preserve">Anche </w:t>
      </w:r>
      <w:r>
        <w:rPr>
          <w:sz w:val="22"/>
          <w:szCs w:val="22"/>
          <w:rtl w:val="0"/>
          <w:lang w:val="it-IT"/>
        </w:rPr>
        <w:t>le comunit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locali traggono valore </w:t>
      </w:r>
      <w:r>
        <w:rPr>
          <w:sz w:val="22"/>
          <w:szCs w:val="22"/>
          <w:rtl w:val="0"/>
          <w:lang w:val="it-IT"/>
        </w:rPr>
        <w:t>da questo tipo di pratiche</w:t>
      </w:r>
      <w:r>
        <w:rPr>
          <w:sz w:val="22"/>
          <w:szCs w:val="22"/>
          <w:rtl w:val="0"/>
          <w:lang w:val="it-IT"/>
        </w:rPr>
        <w:t xml:space="preserve">, </w:t>
      </w:r>
      <w:r>
        <w:rPr>
          <w:sz w:val="22"/>
          <w:szCs w:val="22"/>
          <w:rtl w:val="0"/>
          <w:lang w:val="it-IT"/>
        </w:rPr>
        <w:t>che contrastano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sz w:val="22"/>
          <w:szCs w:val="22"/>
          <w:rtl w:val="0"/>
          <w:lang w:val="it-IT"/>
        </w:rPr>
        <w:t xml:space="preserve">il </w:t>
      </w:r>
      <w:r>
        <w:rPr>
          <w:sz w:val="22"/>
          <w:szCs w:val="22"/>
          <w:rtl w:val="0"/>
          <w:lang w:val="it-IT"/>
        </w:rPr>
        <w:t xml:space="preserve">disboscamento </w:t>
      </w:r>
      <w:r>
        <w:rPr>
          <w:sz w:val="22"/>
          <w:szCs w:val="22"/>
          <w:rtl w:val="0"/>
          <w:lang w:val="it-IT"/>
        </w:rPr>
        <w:t>finalizzato alla</w:t>
      </w:r>
      <w:r>
        <w:rPr>
          <w:sz w:val="22"/>
          <w:szCs w:val="22"/>
          <w:rtl w:val="0"/>
          <w:lang w:val="it-IT"/>
        </w:rPr>
        <w:t xml:space="preserve"> coltivazione </w:t>
      </w:r>
      <w:r>
        <w:rPr>
          <w:sz w:val="22"/>
          <w:szCs w:val="22"/>
          <w:rtl w:val="0"/>
          <w:lang w:val="it-IT"/>
        </w:rPr>
        <w:t>della palma da olio</w:t>
      </w:r>
      <w:r>
        <w:rPr>
          <w:sz w:val="22"/>
          <w:szCs w:val="22"/>
          <w:rtl w:val="0"/>
          <w:lang w:val="it-IT"/>
        </w:rPr>
        <w:t xml:space="preserve"> o della soia.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Secondo Joeri Zwerts, questo studio </w:t>
      </w:r>
      <w:r>
        <w:rPr>
          <w:sz w:val="22"/>
          <w:szCs w:val="22"/>
          <w:rtl w:val="0"/>
          <w:lang w:val="it-IT"/>
        </w:rPr>
        <w:t xml:space="preserve">– </w:t>
      </w:r>
      <w:r>
        <w:rPr>
          <w:sz w:val="22"/>
          <w:szCs w:val="22"/>
          <w:rtl w:val="0"/>
          <w:lang w:val="it-IT"/>
        </w:rPr>
        <w:t>il primo a confrontare cos</w:t>
      </w:r>
      <w:r>
        <w:rPr>
          <w:sz w:val="22"/>
          <w:szCs w:val="22"/>
          <w:rtl w:val="0"/>
          <w:lang w:val="it-IT"/>
        </w:rPr>
        <w:t xml:space="preserve">ì </w:t>
      </w:r>
      <w:r>
        <w:rPr>
          <w:sz w:val="22"/>
          <w:szCs w:val="22"/>
          <w:rtl w:val="0"/>
          <w:lang w:val="it-IT"/>
        </w:rPr>
        <w:t xml:space="preserve">tante diverse aree forestali contemporaneamente </w:t>
      </w:r>
      <w:r>
        <w:rPr>
          <w:sz w:val="22"/>
          <w:szCs w:val="22"/>
          <w:rtl w:val="0"/>
          <w:lang w:val="it-IT"/>
        </w:rPr>
        <w:t xml:space="preserve">– “è </w:t>
      </w:r>
      <w:r>
        <w:rPr>
          <w:sz w:val="22"/>
          <w:szCs w:val="22"/>
          <w:rtl w:val="0"/>
          <w:lang w:val="it-IT"/>
        </w:rPr>
        <w:t xml:space="preserve">stato un progetto ampio e ambizioso che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durato cinque anni e ha coinvolto centinaia di dipendenti locali. Abbiamo dovuto convincere sia le aziende certificate </w:t>
      </w:r>
      <w:r>
        <w:rPr>
          <w:sz w:val="22"/>
          <w:szCs w:val="22"/>
          <w:rtl w:val="0"/>
          <w:lang w:val="it-IT"/>
        </w:rPr>
        <w:t xml:space="preserve">FSC </w:t>
      </w:r>
      <w:r>
        <w:rPr>
          <w:sz w:val="22"/>
          <w:szCs w:val="22"/>
          <w:rtl w:val="0"/>
          <w:lang w:val="it-IT"/>
        </w:rPr>
        <w:t xml:space="preserve">che quelle non certificate a partecipare allo studio.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stato un lavoro duro in condizioni difficili, ma la conoscenza che abbiamo acquisito dar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un contributo importante alla protezione degli animali nelle foreste tropicali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Kim Carstensen, Direttore Generale di FSC International, ha dichiarato: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Lo studio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Universit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di Utrecht rafforza i principi fondamentali di FSC e il nostro impegno per una gestione responsabile delle foreste. Questa ricerca afferma </w:t>
      </w:r>
      <w:r>
        <w:rPr>
          <w:sz w:val="22"/>
          <w:szCs w:val="22"/>
          <w:rtl w:val="0"/>
          <w:lang w:val="it-IT"/>
        </w:rPr>
        <w:t xml:space="preserve">la funzione </w:t>
      </w:r>
      <w:r>
        <w:rPr>
          <w:sz w:val="22"/>
          <w:szCs w:val="22"/>
          <w:rtl w:val="0"/>
          <w:lang w:val="it-IT"/>
        </w:rPr>
        <w:t xml:space="preserve">vitale </w:t>
      </w:r>
      <w:r>
        <w:rPr>
          <w:sz w:val="22"/>
          <w:szCs w:val="22"/>
          <w:rtl w:val="0"/>
          <w:lang w:val="it-IT"/>
        </w:rPr>
        <w:t>del nostro lavoro</w:t>
      </w:r>
      <w:r>
        <w:rPr>
          <w:sz w:val="22"/>
          <w:szCs w:val="22"/>
          <w:rtl w:val="0"/>
          <w:lang w:val="it-IT"/>
        </w:rPr>
        <w:t xml:space="preserve"> nel promuovere diversi ecosistemi e proteggere le specie a rischio di estinzione nelle foreste tropicali, avvantaggiando sia le comunit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locali che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ambiente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Per il </w:t>
      </w:r>
      <w:r>
        <w:rPr>
          <w:sz w:val="22"/>
          <w:szCs w:val="22"/>
          <w:rtl w:val="0"/>
          <w:lang w:val="it-IT"/>
        </w:rPr>
        <w:t>dott</w:t>
      </w:r>
      <w:r>
        <w:rPr>
          <w:sz w:val="22"/>
          <w:szCs w:val="22"/>
          <w:rtl w:val="0"/>
          <w:lang w:val="it-IT"/>
        </w:rPr>
        <w:t xml:space="preserve">. Peter Alele, Direttore Regionale di FSC Africa,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 xml:space="preserve">Lo studio nel bacino del Congo, un polmone verde vitale del nostro </w:t>
      </w:r>
      <w:r>
        <w:rPr>
          <w:sz w:val="22"/>
          <w:szCs w:val="22"/>
          <w:rtl w:val="0"/>
          <w:lang w:val="it-IT"/>
        </w:rPr>
        <w:t>P</w:t>
      </w:r>
      <w:r>
        <w:rPr>
          <w:sz w:val="22"/>
          <w:szCs w:val="22"/>
          <w:rtl w:val="0"/>
          <w:lang w:val="it-IT"/>
        </w:rPr>
        <w:t xml:space="preserve">ianeta, punta i riflettori sul ruolo fondamentale della certificazione nella gestione responsabile e sostenibile delle risorse naturali. I suoi risultati forniscono prove convincenti del fatto che </w:t>
      </w:r>
      <w:r>
        <w:rPr>
          <w:sz w:val="22"/>
          <w:szCs w:val="22"/>
          <w:rtl w:val="0"/>
          <w:lang w:val="it-IT"/>
        </w:rPr>
        <w:t>questo tipo di soluzioni</w:t>
      </w:r>
      <w:r>
        <w:rPr>
          <w:sz w:val="22"/>
          <w:szCs w:val="22"/>
          <w:rtl w:val="0"/>
          <w:lang w:val="it-IT"/>
        </w:rPr>
        <w:t xml:space="preserve"> consent</w:t>
      </w:r>
      <w:r>
        <w:rPr>
          <w:sz w:val="22"/>
          <w:szCs w:val="22"/>
          <w:rtl w:val="0"/>
          <w:lang w:val="it-IT"/>
        </w:rPr>
        <w:t>e</w:t>
      </w:r>
      <w:r>
        <w:rPr>
          <w:sz w:val="22"/>
          <w:szCs w:val="22"/>
          <w:rtl w:val="0"/>
          <w:lang w:val="it-IT"/>
        </w:rPr>
        <w:t xml:space="preserve"> ai governi di raggiungere obiettivi nazionali e internazionali in materia di </w:t>
      </w:r>
      <w:r>
        <w:rPr>
          <w:sz w:val="22"/>
          <w:szCs w:val="22"/>
          <w:rtl w:val="0"/>
          <w:lang w:val="it-IT"/>
        </w:rPr>
        <w:t xml:space="preserve">contrasto alla </w:t>
      </w:r>
      <w:r>
        <w:rPr>
          <w:sz w:val="22"/>
          <w:szCs w:val="22"/>
          <w:rtl w:val="0"/>
          <w:lang w:val="it-IT"/>
        </w:rPr>
        <w:t xml:space="preserve">deforestazione e </w:t>
      </w:r>
      <w:r>
        <w:rPr>
          <w:sz w:val="22"/>
          <w:szCs w:val="22"/>
          <w:rtl w:val="0"/>
          <w:lang w:val="it-IT"/>
        </w:rPr>
        <w:t xml:space="preserve">conservazione della </w:t>
      </w:r>
      <w:r>
        <w:rPr>
          <w:sz w:val="22"/>
          <w:szCs w:val="22"/>
          <w:rtl w:val="0"/>
          <w:lang w:val="it-IT"/>
        </w:rPr>
        <w:t>biodiversit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, </w:t>
      </w:r>
      <w:r>
        <w:rPr>
          <w:sz w:val="22"/>
          <w:szCs w:val="22"/>
          <w:rtl w:val="0"/>
          <w:lang w:val="it-IT"/>
        </w:rPr>
        <w:t>garantendo al</w:t>
      </w:r>
      <w:r>
        <w:rPr>
          <w:sz w:val="22"/>
          <w:szCs w:val="22"/>
          <w:rtl w:val="0"/>
          <w:lang w:val="it-IT"/>
        </w:rPr>
        <w:t xml:space="preserve"> tempo stesso migliori mezzi di sussistenza per le comunit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locali. Questo approccio vantaggioso per tutti offre un percorso chiaro verso un futuro sostenibile per il bacino del Congo e oltre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Neue Heavy" w:cs="HelveticaNeue Heavy" w:hAnsi="HelveticaNeue Heavy" w:eastAsia="HelveticaNeue Heavy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Greycliff CF Bold">
    <w:charset w:val="00"/>
    <w:family w:val="roman"/>
    <w:pitch w:val="default"/>
  </w:font>
  <w:font w:name="HelveticaNeue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1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80022" distB="180022" distL="180022" distR="180022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8281034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+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3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9 (0) 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 xml:space="preserve">Director: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Dr. Giuseppe Bonanno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outline w:val="0"/>
                              <w:color w:val="375c4f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0.0pt;margin-top:652.0pt;width:595.3pt;height:147.4pt;z-index:-251656192;mso-position-horizontal:absolute;mso-position-horizontal-relative:page;mso-position-vertical:absolute;mso-position-vertical-relative:page;mso-wrap-distance-left:14.2pt;mso-wrap-distance-top:14.2pt;mso-wrap-distance-right:14.2pt;mso-wrap-distance-bottom:14.2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b w:val="1"/>
                        <w:bCs w:val="1"/>
                        <w:rtl w:val="0"/>
                        <w:lang w:val="en-US"/>
                      </w:rPr>
                      <w:t xml:space="preserve">T </w:t>
                    </w:r>
                    <w:r>
                      <w:rPr>
                        <w:rtl w:val="0"/>
                        <w:lang w:val="en-US"/>
                      </w:rPr>
                      <w:t>+</w:t>
                    </w:r>
                    <w:r>
                      <w:rPr>
                        <w:rtl w:val="0"/>
                        <w:lang w:val="it-IT"/>
                      </w:rPr>
                      <w:t>3</w:t>
                    </w:r>
                    <w:r>
                      <w:rPr>
                        <w:rtl w:val="0"/>
                        <w:lang w:val="en-US"/>
                      </w:rPr>
                      <w:t xml:space="preserve">9 (0) 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>049 8762749</w:t>
                    </w:r>
                    <w:r>
                      <w:rPr>
                        <w:rtl w:val="0"/>
                        <w:lang w:val="en-US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 xml:space="preserve"> info@fsc-italia.it</w:t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rtl w:val="0"/>
                        <w:lang w:val="en-US"/>
                      </w:rPr>
                      <w:t xml:space="preserve">Director: </w:t>
                    </w:r>
                    <w:r>
                      <w:rPr>
                        <w:rtl w:val="0"/>
                        <w:lang w:val="it-IT"/>
                      </w:rPr>
                      <w:t>Dr. Giuseppe Bonanno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outline w:val="0"/>
                        <w:color w:val="375c4f"/>
                        <w14:textFill>
                          <w14:solidFill>
                            <w14:srgbClr w14:val="375C4F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6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99276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Greycliff CF Extra Bold" w:cs="Greycliff CF Extra Bold" w:hAnsi="Greycliff CF Extra Bold" w:eastAsia="Greycliff CF Extra Bold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14:textOutline>
        <w14:noFill/>
      </w14:textOutline>
      <w14:textFill>
        <w14:solidFill>
          <w14:srgbClr w14:val="285C4D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